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Erläuterungsbericht TGA – Gliederung</w:t>
      </w:r>
    </w:p>
    <w:p>
      <w:pPr>
        <w:pStyle w:val="Normal"/>
      </w:pPr>
      <w:r>
        <w:t xml:space="preserve">DM Tree · www.dmtree.de · Stand 08.10.2026. Editierbare Arbeitshilfe; an Projekt, vereinbarte Leistungen und Bürovorgaben anpassen.</w:t>
      </w:r>
    </w:p>
    <w:p>
      <w:pPr>
        <w:pStyle w:val="Normal"/>
      </w:pPr>
      <w:r>
        <w:t xml:space="preserve">Diese Gliederung unterstützt die Berichtsvorbereitung. Sie ist kein ausgefüllter Musterbericht und keine Zusage vollständiger HOAI- oder Normabdeckung.</w:t>
      </w:r>
    </w:p>
    <w:p>
      <w:pPr>
        <w:pStyle w:val="Heading1"/>
      </w:pPr>
      <w:r>
        <w:t xml:space="preserve">1. Projekt und Berichtszweck</w:t>
      </w:r>
    </w:p>
    <w:p>
      <w:pPr>
        <w:pStyle w:val="Normal"/>
      </w:pPr>
      <w:r>
        <w:t xml:space="preserve">Projekt, beauftragten Umfang, Gewerk, Leistungsphase, Autor, Datum und Version benennen.</w:t>
      </w:r>
    </w:p>
    <w:p>
      <w:pPr>
        <w:pStyle w:val="Normal"/>
      </w:pPr>
      <w:r>
        <w:t xml:space="preserve">[Projektbezogenen Inhalt eintragen. Ungeklärte Angaben ausdrücklich als offen kennzeichnen.]</w:t>
      </w:r>
    </w:p>
    <w:p>
      <w:pPr>
        <w:pStyle w:val="Heading1"/>
      </w:pPr>
      <w:r>
        <w:t xml:space="preserve">2. Grundlagen und Randbedingungen</w:t>
      </w:r>
    </w:p>
    <w:p>
      <w:pPr>
        <w:pStyle w:val="Normal"/>
      </w:pPr>
      <w:r>
        <w:t xml:space="preserve">Anforderungen und verwendete Unterlagen mit Quelle und Stand aufführen.</w:t>
      </w:r>
    </w:p>
    <w:p>
      <w:pPr>
        <w:pStyle w:val="Normal"/>
      </w:pPr>
      <w:r>
        <w:t xml:space="preserve">[Projektbezogenen Inhalt eintragen. Ungeklärte Angaben ausdrücklich als offen kennzeichnen.]</w:t>
      </w:r>
    </w:p>
    <w:p>
      <w:pPr>
        <w:pStyle w:val="Heading1"/>
      </w:pPr>
      <w:r>
        <w:t xml:space="preserve">3. Planungskonzept</w:t>
      </w:r>
    </w:p>
    <w:p>
      <w:pPr>
        <w:pStyle w:val="Normal"/>
      </w:pPr>
      <w:r>
        <w:t xml:space="preserve">Den Ansatz je relevantem Gewerk und seine Entscheidungsgrundlage nachvollziehbar erläutern.</w:t>
      </w:r>
    </w:p>
    <w:p>
      <w:pPr>
        <w:pStyle w:val="Normal"/>
      </w:pPr>
      <w:r>
        <w:t xml:space="preserve">[Projektbezogenen Inhalt eintragen. Ungeklärte Angaben ausdrücklich als offen kennzeichnen.]</w:t>
      </w:r>
    </w:p>
    <w:p>
      <w:pPr>
        <w:pStyle w:val="Heading1"/>
      </w:pPr>
      <w:r>
        <w:t xml:space="preserve">4. Varianten und Entscheidungen</w:t>
      </w:r>
    </w:p>
    <w:p>
      <w:pPr>
        <w:pStyle w:val="Normal"/>
      </w:pPr>
      <w:r>
        <w:t xml:space="preserve">Betrachtete Optionen, bestätigte Festlegungen und offene Entscheidungen unterscheiden.</w:t>
      </w:r>
    </w:p>
    <w:p>
      <w:pPr>
        <w:pStyle w:val="Normal"/>
      </w:pPr>
      <w:r>
        <w:t xml:space="preserve">[Projektbezogenen Inhalt eintragen. Ungeklärte Angaben ausdrücklich als offen kennzeichnen.]</w:t>
      </w:r>
    </w:p>
    <w:p>
      <w:pPr>
        <w:pStyle w:val="Heading1"/>
      </w:pPr>
      <w:r>
        <w:t xml:space="preserve">5. Schnittstellen</w:t>
      </w:r>
    </w:p>
    <w:p>
      <w:pPr>
        <w:pStyle w:val="Normal"/>
      </w:pPr>
      <w:r>
        <w:t xml:space="preserve">Notwendige Abstimmungen mit anderen Planungsbeteiligten und ihre Zuständigkeiten beschreiben.</w:t>
      </w:r>
    </w:p>
    <w:p>
      <w:pPr>
        <w:pStyle w:val="Normal"/>
      </w:pPr>
      <w:r>
        <w:t xml:space="preserve">[Projektbezogenen Inhalt eintragen. Ungeklärte Angaben ausdrücklich als offen kennzeichnen.]</w:t>
      </w:r>
    </w:p>
    <w:p>
      <w:pPr>
        <w:pStyle w:val="Heading1"/>
      </w:pPr>
      <w:r>
        <w:t xml:space="preserve">6. Kosten- und Terminbezug</w:t>
      </w:r>
    </w:p>
    <w:p>
      <w:pPr>
        <w:pStyle w:val="Normal"/>
      </w:pPr>
      <w:r>
        <w:t xml:space="preserve">Vorliegende Angaben für den beschriebenen Planungsstand einordnen. Fehlende oder angenommene Werte kennzeichnen.</w:t>
      </w:r>
    </w:p>
    <w:p>
      <w:pPr>
        <w:pStyle w:val="Normal"/>
      </w:pPr>
      <w:r>
        <w:t xml:space="preserve">[Projektbezogenen Inhalt eintragen. Ungeklärte Angaben ausdrücklich als offen kennzeichnen.]</w:t>
      </w:r>
    </w:p>
    <w:p>
      <w:pPr>
        <w:pStyle w:val="Heading1"/>
      </w:pPr>
      <w:r>
        <w:t xml:space="preserve">7. Offene Punkte und Anlagen</w:t>
      </w:r>
    </w:p>
    <w:p>
      <w:pPr>
        <w:pStyle w:val="Normal"/>
      </w:pPr>
      <w:r>
        <w:t xml:space="preserve">Fehlende Ergebnisse, nächste Schritte und zugehörige Unterlagen aufführen; Prüf- und Freigabestand vermerken.</w:t>
      </w:r>
    </w:p>
    <w:p>
      <w:pPr>
        <w:pStyle w:val="Normal"/>
      </w:pPr>
      <w:r>
        <w:t xml:space="preserve">[Projektbezogenen Inhalt eintragen. Ungeklärte Angaben ausdrücklich als offen kennzeichnen.]</w:t>
      </w:r>
    </w:p>
    <w:p>
      <w:pPr>
        <w:pStyle w:val="Heading1"/>
      </w:pPr>
      <w:r>
        <w:t xml:space="preserve">Prüfung vor der Weitergabe</w:t>
      </w:r>
    </w:p>
    <w:p>
      <w:pPr>
        <w:pStyle w:val="Normal"/>
      </w:pPr>
      <w:r>
        <w:t xml:space="preserve">Gültiger Unterlagenstand? Anforderungen und Konzept widerspruchsfrei? Projektbezug jeder Aussage klar? Offene Punkte benannt? Leistungsumfang berücksichtigt? Fachliche Prüfung und freigegebene Fassung dokumentiert?</w:t>
      </w:r>
    </w:p>
    <w:p>
      <w:pPr>
        <w:pStyle w:val="Normal"/>
      </w:pPr>
      <w:r>
        <w:t xml:space="preserve">Hinweise: https://www.dmtree.de/wissen/erlaeuterungsbericht-tga</w:t>
      </w:r>
    </w:p>
    <w:sectPr>
      <w:pgSz w:w="11906" w:h="16838"/>
      <w:pgMar w:top="1134" w:right="1134" w:bottom="1134" w:left="1134" w:header="708" w:footer="70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40"/>
    </w:pPr>
    <w:rPr>
      <w:b/>
      <w:color w:val="173555"/>
      <w:sz w:val="40"/>
    </w:rPr>
  </w:style>
  <w:style w:type="paragraph" w:styleId="Heading1">
    <w:name w:val="heading 1"/>
    <w:pPr>
      <w:keepNext/>
      <w:spacing w:before="300" w:after="160"/>
      <w:outlineLvl w:val="0"/>
    </w:pPr>
    <w:rPr>
      <w:b/>
      <w:color w:val="173555"/>
      <w:sz w:val="28"/>
    </w:rPr>
  </w:style>
  <w:style w:type="paragraph" w:styleId="Heading3">
    <w:name w:val="heading 3"/>
    <w:rPr>
      <w:b/>
      <w:color w:val="173555"/>
    </w:rPr>
  </w:style>
  <w:style w:type="table" w:styleId="TableGrid">
    <w:name w:val="Table Grid"/>
    <w:tblPr>
      <w:tblBorders>
        <w:top w:val="single" w:sz="4" w:color="CCCCCC"/>
        <w:left w:val="single" w:sz="4" w:color="CCCCCC"/>
        <w:bottom w:val="single" w:sz="4" w:color="CCCCCC"/>
        <w:right w:val="single" w:sz="4" w:color="CCCCCC"/>
        <w:insideH w:val="single" w:sz="4" w:color="CCCCCC"/>
        <w:insideV w:val="single" w:sz="4" w:color="CCCCCC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